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3760"/>
        <w:gridCol w:w="2788"/>
      </w:tblGrid>
      <w:tr w:rsidR="00B84F4E" w:rsidTr="00B84F4E">
        <w:tc>
          <w:tcPr>
            <w:tcW w:w="1475" w:type="pct"/>
          </w:tcPr>
          <w:p w:rsidR="00B84F4E" w:rsidRDefault="00B84F4E" w:rsidP="00B84F4E">
            <w:pPr>
              <w:rPr>
                <w:rFonts w:ascii="Arial" w:hAnsi="Arial" w:cs="Arial"/>
                <w:sz w:val="24"/>
                <w:szCs w:val="24"/>
              </w:rPr>
            </w:pPr>
            <w:r w:rsidRPr="00B84F4E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573200" cy="1080000"/>
                  <wp:effectExtent l="0" t="0" r="8255" b="6350"/>
                  <wp:docPr id="2765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00" cy="10800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pct"/>
          </w:tcPr>
          <w:p w:rsidR="00B84F4E" w:rsidRDefault="00B84F4E" w:rsidP="00B84F4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C59">
              <w:rPr>
                <w:rFonts w:ascii="Arial" w:hAnsi="Arial" w:cs="Arial"/>
                <w:sz w:val="24"/>
                <w:szCs w:val="24"/>
              </w:rPr>
              <w:t>Call for Papers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Multikonferenz Wirtschaftsinformatik 2012</w:t>
            </w:r>
          </w:p>
          <w:p w:rsidR="00B84F4E" w:rsidRPr="00B84F4E" w:rsidRDefault="00B84F4E" w:rsidP="00B84F4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5C59">
              <w:rPr>
                <w:rFonts w:ascii="Arial" w:hAnsi="Arial" w:cs="Arial"/>
                <w:b/>
                <w:sz w:val="28"/>
                <w:szCs w:val="28"/>
              </w:rPr>
              <w:t xml:space="preserve">Track: 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785C59">
              <w:rPr>
                <w:rFonts w:ascii="Arial" w:hAnsi="Arial" w:cs="Arial"/>
                <w:b/>
                <w:sz w:val="28"/>
                <w:szCs w:val="28"/>
              </w:rPr>
              <w:t xml:space="preserve">nformationssysteme 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785C59">
              <w:rPr>
                <w:rFonts w:ascii="Arial" w:hAnsi="Arial" w:cs="Arial"/>
                <w:b/>
                <w:sz w:val="28"/>
                <w:szCs w:val="28"/>
              </w:rPr>
              <w:t>in Logistik und Verkehr</w:t>
            </w:r>
          </w:p>
          <w:p w:rsidR="00B84F4E" w:rsidRDefault="00B84F4E" w:rsidP="00785C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pct"/>
          </w:tcPr>
          <w:p w:rsidR="00B84F4E" w:rsidRDefault="00B84F4E" w:rsidP="00B84F4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84F4E">
              <w:rPr>
                <w:rFonts w:ascii="Arial" w:hAnsi="Arial" w:cs="Arial"/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>
                  <wp:extent cx="1439418" cy="1080000"/>
                  <wp:effectExtent l="0" t="0" r="8890" b="6350"/>
                  <wp:docPr id="27652" name="Picture 6" descr="bustour_mai_2005_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2" name="Picture 6" descr="bustour_mai_2005_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418" cy="10800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C59" w:rsidRPr="00B84F4E" w:rsidRDefault="00785C59" w:rsidP="00785C59">
      <w:pPr>
        <w:jc w:val="both"/>
        <w:rPr>
          <w:rFonts w:ascii="Arial" w:hAnsi="Arial" w:cs="Arial"/>
          <w:i/>
        </w:rPr>
      </w:pPr>
      <w:r w:rsidRPr="00B84F4E">
        <w:rPr>
          <w:rFonts w:ascii="Arial" w:hAnsi="Arial" w:cs="Arial"/>
          <w:i/>
        </w:rPr>
        <w:t>Organisation des Tracks:</w:t>
      </w:r>
    </w:p>
    <w:p w:rsidR="00785C59" w:rsidRPr="00B84F4E" w:rsidRDefault="00785C59" w:rsidP="00785C59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B84F4E">
        <w:rPr>
          <w:rFonts w:ascii="Arial" w:hAnsi="Arial" w:cs="Arial"/>
        </w:rPr>
        <w:t>Prof. Dr. Natalia Kliewer, Freie Universität Berlin (Leiterin)</w:t>
      </w:r>
    </w:p>
    <w:p w:rsidR="00785C59" w:rsidRPr="00B84F4E" w:rsidRDefault="00785C59" w:rsidP="00785C59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B84F4E">
        <w:rPr>
          <w:rFonts w:ascii="Arial" w:hAnsi="Arial" w:cs="Arial"/>
        </w:rPr>
        <w:t>Prof. Dr. Leena Suhl, Universität Paderborn</w:t>
      </w:r>
    </w:p>
    <w:p w:rsidR="00785C59" w:rsidRPr="00B84F4E" w:rsidRDefault="00C93E5B" w:rsidP="00785C59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Dipl. Wirt.-Inf. </w:t>
      </w:r>
      <w:r w:rsidR="00785C59" w:rsidRPr="00B84F4E">
        <w:rPr>
          <w:rFonts w:ascii="Arial" w:hAnsi="Arial" w:cs="Arial"/>
        </w:rPr>
        <w:t>Jan Fabian Ehmke, Technische Universität Braunschweig</w:t>
      </w:r>
    </w:p>
    <w:p w:rsidR="00785C59" w:rsidRPr="00B84F4E" w:rsidRDefault="00785C59" w:rsidP="00785C59">
      <w:pPr>
        <w:jc w:val="both"/>
        <w:rPr>
          <w:rFonts w:ascii="Arial" w:hAnsi="Arial" w:cs="Arial"/>
          <w:i/>
        </w:rPr>
      </w:pPr>
      <w:r w:rsidRPr="00B84F4E">
        <w:rPr>
          <w:rFonts w:ascii="Arial" w:hAnsi="Arial" w:cs="Arial"/>
          <w:i/>
        </w:rPr>
        <w:t>Thema:</w:t>
      </w:r>
    </w:p>
    <w:p w:rsidR="00785C59" w:rsidRPr="00B84F4E" w:rsidRDefault="00785C59" w:rsidP="00785C59">
      <w:pPr>
        <w:jc w:val="both"/>
        <w:rPr>
          <w:rFonts w:ascii="Arial" w:hAnsi="Arial" w:cs="Arial"/>
        </w:rPr>
      </w:pPr>
      <w:r w:rsidRPr="00B84F4E">
        <w:rPr>
          <w:rFonts w:ascii="Arial" w:hAnsi="Arial" w:cs="Arial"/>
        </w:rPr>
        <w:t xml:space="preserve">Die Planung und Steuerung effizienter Prozesse in Transport, Logistik und Verkehr erfordert den Einsatz moderner IT-Systeme </w:t>
      </w:r>
      <w:r w:rsidR="007B778F">
        <w:rPr>
          <w:rFonts w:ascii="Arial" w:hAnsi="Arial" w:cs="Arial"/>
        </w:rPr>
        <w:t>sowie</w:t>
      </w:r>
      <w:r w:rsidRPr="00B84F4E">
        <w:rPr>
          <w:rFonts w:ascii="Arial" w:hAnsi="Arial" w:cs="Arial"/>
        </w:rPr>
        <w:t xml:space="preserve"> deren Unterstützung durch </w:t>
      </w:r>
      <w:r w:rsidR="003D10EA" w:rsidRPr="00B84F4E">
        <w:rPr>
          <w:rFonts w:ascii="Arial" w:hAnsi="Arial" w:cs="Arial"/>
        </w:rPr>
        <w:t xml:space="preserve">innovative </w:t>
      </w:r>
      <w:r w:rsidRPr="00B84F4E">
        <w:rPr>
          <w:rFonts w:ascii="Arial" w:hAnsi="Arial" w:cs="Arial"/>
        </w:rPr>
        <w:t>Planun</w:t>
      </w:r>
      <w:r w:rsidR="00B84F4E" w:rsidRPr="00B84F4E">
        <w:rPr>
          <w:rFonts w:ascii="Arial" w:hAnsi="Arial" w:cs="Arial"/>
        </w:rPr>
        <w:t>gsmethoden und maßgeschneiderte</w:t>
      </w:r>
      <w:r w:rsidR="003D10EA" w:rsidRPr="00B84F4E">
        <w:rPr>
          <w:rFonts w:ascii="Arial" w:hAnsi="Arial" w:cs="Arial"/>
        </w:rPr>
        <w:t xml:space="preserve"> Informationen. </w:t>
      </w:r>
      <w:r w:rsidRPr="00B84F4E">
        <w:rPr>
          <w:rFonts w:ascii="Arial" w:hAnsi="Arial" w:cs="Arial"/>
        </w:rPr>
        <w:t>Fortschritte im Bereich der Erfassung operationaler Daten</w:t>
      </w:r>
      <w:r w:rsidR="00B84F4E" w:rsidRPr="00B84F4E">
        <w:rPr>
          <w:rFonts w:ascii="Arial" w:hAnsi="Arial" w:cs="Arial"/>
        </w:rPr>
        <w:t xml:space="preserve"> mittels ERP-Systemen oder</w:t>
      </w:r>
      <w:r w:rsidR="003D10EA" w:rsidRPr="00B84F4E">
        <w:rPr>
          <w:rFonts w:ascii="Arial" w:hAnsi="Arial" w:cs="Arial"/>
        </w:rPr>
        <w:t xml:space="preserve"> </w:t>
      </w:r>
      <w:r w:rsidR="00B84F4E" w:rsidRPr="00B84F4E">
        <w:rPr>
          <w:rFonts w:ascii="Arial" w:hAnsi="Arial" w:cs="Arial"/>
        </w:rPr>
        <w:t xml:space="preserve">mobiler Sensorik </w:t>
      </w:r>
      <w:r w:rsidR="003D10EA" w:rsidRPr="00B84F4E">
        <w:rPr>
          <w:rFonts w:ascii="Arial" w:hAnsi="Arial" w:cs="Arial"/>
        </w:rPr>
        <w:t xml:space="preserve">erlauben eine detaillierte Abbildung sowohl der betrieblichen Ressourcen als auch der erforderlichen Verkehrsinfrastruktur. Anwendungsspezifische Informationssysteme sind in der Lage, die erforderlichen Daten zu erfassen und für die effiziente Nutzung in </w:t>
      </w:r>
      <w:r w:rsidR="00B84F4E" w:rsidRPr="00B84F4E">
        <w:rPr>
          <w:rFonts w:ascii="Arial" w:hAnsi="Arial" w:cs="Arial"/>
        </w:rPr>
        <w:t xml:space="preserve">innovativen </w:t>
      </w:r>
      <w:r w:rsidR="003D10EA" w:rsidRPr="00B84F4E">
        <w:rPr>
          <w:rFonts w:ascii="Arial" w:hAnsi="Arial" w:cs="Arial"/>
        </w:rPr>
        <w:t>Planungs- und Steuerungsverfahren aufzubereiten.</w:t>
      </w:r>
    </w:p>
    <w:p w:rsidR="00785C59" w:rsidRPr="00B84F4E" w:rsidRDefault="00B84F4E" w:rsidP="00785C59">
      <w:pPr>
        <w:jc w:val="both"/>
        <w:rPr>
          <w:rFonts w:ascii="Arial" w:hAnsi="Arial" w:cs="Arial"/>
        </w:rPr>
      </w:pPr>
      <w:r w:rsidRPr="00B84F4E">
        <w:rPr>
          <w:rFonts w:ascii="Arial" w:hAnsi="Arial" w:cs="Arial"/>
        </w:rPr>
        <w:t xml:space="preserve">Dieser </w:t>
      </w:r>
      <w:r w:rsidR="003D10EA" w:rsidRPr="00B84F4E">
        <w:rPr>
          <w:rFonts w:ascii="Arial" w:hAnsi="Arial" w:cs="Arial"/>
        </w:rPr>
        <w:t xml:space="preserve">Track </w:t>
      </w:r>
      <w:r w:rsidRPr="00B84F4E">
        <w:rPr>
          <w:rFonts w:ascii="Arial" w:hAnsi="Arial" w:cs="Arial"/>
        </w:rPr>
        <w:t xml:space="preserve">zielt ab auf die Diskussion </w:t>
      </w:r>
      <w:r w:rsidR="003D10EA" w:rsidRPr="00B84F4E">
        <w:rPr>
          <w:rFonts w:ascii="Arial" w:hAnsi="Arial" w:cs="Arial"/>
        </w:rPr>
        <w:t>anwendungsspezifischer Informations- und Kommunikationssysteme i</w:t>
      </w:r>
      <w:r w:rsidRPr="00B84F4E">
        <w:rPr>
          <w:rFonts w:ascii="Arial" w:hAnsi="Arial" w:cs="Arial"/>
        </w:rPr>
        <w:t>m Bereich</w:t>
      </w:r>
      <w:r w:rsidR="003D10EA" w:rsidRPr="00B84F4E">
        <w:rPr>
          <w:rFonts w:ascii="Arial" w:hAnsi="Arial" w:cs="Arial"/>
        </w:rPr>
        <w:t xml:space="preserve"> Transport, Logistik und Verkehr. Mögliche Themen betreffen die Modellierung von Informationssystemen als auch die Konzeption von </w:t>
      </w:r>
      <w:r w:rsidRPr="00B84F4E">
        <w:rPr>
          <w:rFonts w:ascii="Arial" w:hAnsi="Arial" w:cs="Arial"/>
        </w:rPr>
        <w:t>Verfahren zur Planung und Entscheidungsunterstützung</w:t>
      </w:r>
      <w:r w:rsidR="003D10EA" w:rsidRPr="00B84F4E">
        <w:rPr>
          <w:rFonts w:ascii="Arial" w:hAnsi="Arial" w:cs="Arial"/>
        </w:rPr>
        <w:t xml:space="preserve">. </w:t>
      </w:r>
      <w:r w:rsidRPr="00B84F4E">
        <w:rPr>
          <w:rFonts w:ascii="Arial" w:hAnsi="Arial" w:cs="Arial"/>
        </w:rPr>
        <w:t xml:space="preserve">Neben modernen Technologien liegt der Fokus auf komplexen Algorithmen und innovativen Fallstudien </w:t>
      </w:r>
      <w:r w:rsidR="003D10EA" w:rsidRPr="00B84F4E">
        <w:rPr>
          <w:rFonts w:ascii="Arial" w:hAnsi="Arial" w:cs="Arial"/>
        </w:rPr>
        <w:t>zu informationstechnischen Aspekten in Transport, Logistik und Verkehr.</w:t>
      </w:r>
    </w:p>
    <w:p w:rsidR="00B84F4E" w:rsidRPr="00B84F4E" w:rsidRDefault="00B84F4E" w:rsidP="00785C59">
      <w:pPr>
        <w:jc w:val="both"/>
        <w:rPr>
          <w:rFonts w:ascii="Arial" w:hAnsi="Arial" w:cs="Arial"/>
          <w:i/>
        </w:rPr>
      </w:pPr>
      <w:r w:rsidRPr="00B84F4E">
        <w:rPr>
          <w:rFonts w:ascii="Arial" w:hAnsi="Arial" w:cs="Arial"/>
          <w:i/>
        </w:rPr>
        <w:t>Mögliche Themen für Beiträge:</w:t>
      </w:r>
    </w:p>
    <w:p w:rsidR="00362D29" w:rsidRDefault="00362D29" w:rsidP="00362D2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Planung, Steuerung und Optimierung von Prozessen in Transport</w:t>
      </w:r>
      <w:r w:rsidR="00C93E5B">
        <w:rPr>
          <w:rFonts w:ascii="Arial" w:hAnsi="Arial" w:cs="Arial"/>
        </w:rPr>
        <w:t>, Logistik</w:t>
      </w:r>
      <w:r>
        <w:rPr>
          <w:rFonts w:ascii="Arial" w:hAnsi="Arial" w:cs="Arial"/>
        </w:rPr>
        <w:t xml:space="preserve"> und Verkehr (Schiene, Straße, Luft, Schiff)</w:t>
      </w:r>
    </w:p>
    <w:p w:rsidR="00B6702A" w:rsidRPr="00362D29" w:rsidRDefault="00B6702A" w:rsidP="00B6702A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Robuste Planung und Steuerung</w:t>
      </w:r>
    </w:p>
    <w:p w:rsidR="00B6702A" w:rsidRDefault="00B6702A" w:rsidP="00B6702A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Mobile Informationssysteme</w:t>
      </w:r>
    </w:p>
    <w:p w:rsidR="00362D29" w:rsidRPr="00362D29" w:rsidRDefault="00362D29" w:rsidP="00362D2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Dynamische Tourenplanung und -steuerung</w:t>
      </w:r>
    </w:p>
    <w:p w:rsidR="00B6702A" w:rsidRPr="005715EB" w:rsidRDefault="00B6702A" w:rsidP="00B6702A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5715EB">
        <w:rPr>
          <w:rFonts w:ascii="Arial" w:hAnsi="Arial" w:cs="Arial"/>
        </w:rPr>
        <w:t>Dynamische Preissteuerung</w:t>
      </w:r>
      <w:r w:rsidR="00F92011" w:rsidRPr="005715EB">
        <w:rPr>
          <w:rFonts w:ascii="Arial" w:hAnsi="Arial" w:cs="Arial"/>
        </w:rPr>
        <w:t xml:space="preserve"> / Revenue</w:t>
      </w:r>
      <w:r w:rsidR="005715EB" w:rsidRPr="005715EB">
        <w:rPr>
          <w:rFonts w:ascii="Arial" w:hAnsi="Arial" w:cs="Arial"/>
        </w:rPr>
        <w:t>-</w:t>
      </w:r>
      <w:r w:rsidR="00F92011" w:rsidRPr="005715EB">
        <w:rPr>
          <w:rFonts w:ascii="Arial" w:hAnsi="Arial" w:cs="Arial"/>
        </w:rPr>
        <w:t>Management</w:t>
      </w:r>
      <w:r w:rsidR="005715EB" w:rsidRPr="005715EB">
        <w:rPr>
          <w:rFonts w:ascii="Arial" w:hAnsi="Arial" w:cs="Arial"/>
        </w:rPr>
        <w:t>-Systeme</w:t>
      </w:r>
    </w:p>
    <w:p w:rsidR="00B6702A" w:rsidRPr="00362D29" w:rsidRDefault="00B6702A" w:rsidP="00B6702A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Integration von Informationssystemen</w:t>
      </w:r>
    </w:p>
    <w:p w:rsidR="00B6702A" w:rsidRDefault="00B6702A" w:rsidP="00B6702A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Referenzmodelle in Transport</w:t>
      </w:r>
      <w:r w:rsidR="00536B14">
        <w:rPr>
          <w:rFonts w:ascii="Arial" w:hAnsi="Arial" w:cs="Arial"/>
        </w:rPr>
        <w:t>, Logistik</w:t>
      </w:r>
      <w:r>
        <w:rPr>
          <w:rFonts w:ascii="Arial" w:hAnsi="Arial" w:cs="Arial"/>
        </w:rPr>
        <w:t xml:space="preserve"> und Verkehr</w:t>
      </w:r>
    </w:p>
    <w:p w:rsidR="00B6702A" w:rsidRDefault="00B6702A" w:rsidP="00B6702A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362D29">
        <w:rPr>
          <w:rFonts w:ascii="Arial" w:hAnsi="Arial" w:cs="Arial"/>
        </w:rPr>
        <w:t>Auskunfts-, Leit- und Abrechnungssysteme</w:t>
      </w:r>
    </w:p>
    <w:p w:rsidR="00B6702A" w:rsidRPr="00362D29" w:rsidRDefault="00B6702A" w:rsidP="00B6702A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362D29">
        <w:rPr>
          <w:rFonts w:ascii="Arial" w:hAnsi="Arial" w:cs="Arial"/>
        </w:rPr>
        <w:t>Linien-, F</w:t>
      </w:r>
      <w:r>
        <w:rPr>
          <w:rFonts w:ascii="Arial" w:hAnsi="Arial" w:cs="Arial"/>
        </w:rPr>
        <w:t>ahr-, Umlauf- und Dienstplanung</w:t>
      </w:r>
    </w:p>
    <w:p w:rsidR="00B6702A" w:rsidRDefault="00B6702A" w:rsidP="00B6702A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lang w:val="en-US"/>
        </w:rPr>
      </w:pPr>
      <w:r w:rsidRPr="00362D29">
        <w:rPr>
          <w:rFonts w:ascii="Arial" w:hAnsi="Arial" w:cs="Arial"/>
          <w:lang w:val="en-US"/>
        </w:rPr>
        <w:t>Innovatives Flottenmanagement (z.B. CarSharing, BikeSharing)</w:t>
      </w:r>
    </w:p>
    <w:p w:rsidR="00536B14" w:rsidRPr="00536B14" w:rsidRDefault="00536B14" w:rsidP="00536B14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536B14">
        <w:rPr>
          <w:rFonts w:ascii="Arial" w:hAnsi="Arial" w:cs="Arial"/>
        </w:rPr>
        <w:t>Planung von Logistiknetzwerken</w:t>
      </w:r>
    </w:p>
    <w:p w:rsidR="00536B14" w:rsidRDefault="00536B14" w:rsidP="00536B14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536B14">
        <w:rPr>
          <w:rFonts w:ascii="Arial" w:hAnsi="Arial" w:cs="Arial"/>
        </w:rPr>
        <w:t>Transport in Distributions- und Sammelnetzen</w:t>
      </w:r>
    </w:p>
    <w:p w:rsidR="00362D29" w:rsidRDefault="00362D29" w:rsidP="00362D29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Mautsysteme</w:t>
      </w:r>
    </w:p>
    <w:p w:rsidR="005E1D60" w:rsidRDefault="005E1D60" w:rsidP="00785C59">
      <w:pPr>
        <w:jc w:val="both"/>
        <w:rPr>
          <w:rFonts w:ascii="Arial" w:hAnsi="Arial" w:cs="Arial"/>
          <w:i/>
        </w:rPr>
      </w:pPr>
    </w:p>
    <w:p w:rsidR="00B84F4E" w:rsidRPr="00B84F4E" w:rsidRDefault="00B84F4E" w:rsidP="00785C59">
      <w:pPr>
        <w:jc w:val="both"/>
        <w:rPr>
          <w:rFonts w:ascii="Arial" w:hAnsi="Arial" w:cs="Arial"/>
          <w:i/>
        </w:rPr>
      </w:pPr>
      <w:r w:rsidRPr="00B84F4E">
        <w:rPr>
          <w:rFonts w:ascii="Arial" w:hAnsi="Arial" w:cs="Arial"/>
          <w:i/>
        </w:rPr>
        <w:lastRenderedPageBreak/>
        <w:t>Programmkomitee:</w:t>
      </w:r>
    </w:p>
    <w:p w:rsidR="005E76F8" w:rsidRPr="00B84F4E" w:rsidRDefault="005E76F8" w:rsidP="005E76F8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B84F4E">
        <w:rPr>
          <w:rFonts w:ascii="Arial" w:hAnsi="Arial" w:cs="Arial"/>
        </w:rPr>
        <w:t>Prof. Dr. Christian Bierwirth, U</w:t>
      </w:r>
      <w:r>
        <w:rPr>
          <w:rFonts w:ascii="Arial" w:hAnsi="Arial" w:cs="Arial"/>
        </w:rPr>
        <w:t>niversität Halle-Wittenberg</w:t>
      </w:r>
    </w:p>
    <w:p w:rsidR="00BB5A78" w:rsidRDefault="00BB5A78" w:rsidP="007317B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Prof. Dr. Stefan Bock, Universität Wuppertal</w:t>
      </w:r>
    </w:p>
    <w:p w:rsidR="00BB5A78" w:rsidRDefault="00BB5A78" w:rsidP="007317B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Jun.-Prof. Dr. Catherine </w:t>
      </w:r>
      <w:proofErr w:type="spellStart"/>
      <w:r>
        <w:rPr>
          <w:rFonts w:ascii="Arial" w:hAnsi="Arial" w:cs="Arial"/>
        </w:rPr>
        <w:t>Cleophas</w:t>
      </w:r>
      <w:proofErr w:type="spellEnd"/>
      <w:r>
        <w:rPr>
          <w:rFonts w:ascii="Arial" w:hAnsi="Arial" w:cs="Arial"/>
        </w:rPr>
        <w:t>, Freie Universität Berlin</w:t>
      </w:r>
    </w:p>
    <w:p w:rsidR="007317B2" w:rsidRPr="00780BA5" w:rsidRDefault="007317B2" w:rsidP="007317B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780BA5">
        <w:rPr>
          <w:rFonts w:ascii="Arial" w:hAnsi="Arial" w:cs="Arial"/>
        </w:rPr>
        <w:t>Dr. Tor</w:t>
      </w:r>
      <w:r>
        <w:rPr>
          <w:rFonts w:ascii="Arial" w:hAnsi="Arial" w:cs="Arial"/>
        </w:rPr>
        <w:t>sten Fahle, INFORMS/Aachen</w:t>
      </w:r>
    </w:p>
    <w:p w:rsidR="005E76F8" w:rsidRPr="00BB5A78" w:rsidRDefault="005E76F8" w:rsidP="005E76F8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BB5A78">
        <w:rPr>
          <w:rFonts w:ascii="Arial" w:hAnsi="Arial" w:cs="Arial"/>
        </w:rPr>
        <w:t xml:space="preserve">Dr. Tore </w:t>
      </w:r>
      <w:proofErr w:type="spellStart"/>
      <w:r w:rsidRPr="00BB5A78">
        <w:rPr>
          <w:rFonts w:ascii="Arial" w:hAnsi="Arial" w:cs="Arial"/>
        </w:rPr>
        <w:t>Grünert</w:t>
      </w:r>
      <w:proofErr w:type="spellEnd"/>
      <w:r w:rsidRPr="00BB5A78">
        <w:rPr>
          <w:rFonts w:ascii="Arial" w:hAnsi="Arial" w:cs="Arial"/>
        </w:rPr>
        <w:t xml:space="preserve">, GTS Systems </w:t>
      </w:r>
      <w:proofErr w:type="spellStart"/>
      <w:r w:rsidRPr="00BB5A78">
        <w:rPr>
          <w:rFonts w:ascii="Arial" w:hAnsi="Arial" w:cs="Arial"/>
        </w:rPr>
        <w:t>and</w:t>
      </w:r>
      <w:proofErr w:type="spellEnd"/>
      <w:r w:rsidRPr="00BB5A78">
        <w:rPr>
          <w:rFonts w:ascii="Arial" w:hAnsi="Arial" w:cs="Arial"/>
        </w:rPr>
        <w:t xml:space="preserve"> Consulting</w:t>
      </w:r>
    </w:p>
    <w:p w:rsidR="007317B2" w:rsidRPr="00E719E6" w:rsidRDefault="007317B2" w:rsidP="007317B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E719E6">
        <w:rPr>
          <w:rFonts w:ascii="Arial" w:hAnsi="Arial" w:cs="Arial"/>
        </w:rPr>
        <w:t>Prof. Dr. Hans-Otto Günther, Technische Universität Berlin</w:t>
      </w:r>
    </w:p>
    <w:p w:rsidR="007317B2" w:rsidRPr="005E76F8" w:rsidRDefault="007317B2" w:rsidP="007317B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5E76F8">
        <w:rPr>
          <w:rFonts w:ascii="Arial" w:hAnsi="Arial" w:cs="Arial"/>
        </w:rPr>
        <w:t>Prof. Dr. Rich</w:t>
      </w:r>
      <w:r>
        <w:rPr>
          <w:rFonts w:ascii="Arial" w:hAnsi="Arial" w:cs="Arial"/>
        </w:rPr>
        <w:t>ard Hartl, Universität Wien</w:t>
      </w:r>
    </w:p>
    <w:p w:rsidR="007317B2" w:rsidRDefault="007317B2" w:rsidP="007317B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780BA5">
        <w:rPr>
          <w:rFonts w:ascii="Arial" w:hAnsi="Arial" w:cs="Arial"/>
        </w:rPr>
        <w:t xml:space="preserve">Prof. Dr. Achim </w:t>
      </w:r>
      <w:proofErr w:type="spellStart"/>
      <w:r>
        <w:rPr>
          <w:rFonts w:ascii="Arial" w:hAnsi="Arial" w:cs="Arial"/>
        </w:rPr>
        <w:t>Koberstein</w:t>
      </w:r>
      <w:proofErr w:type="spellEnd"/>
      <w:r>
        <w:rPr>
          <w:rFonts w:ascii="Arial" w:hAnsi="Arial" w:cs="Arial"/>
        </w:rPr>
        <w:t>, Universität Paderborn</w:t>
      </w:r>
    </w:p>
    <w:p w:rsidR="00BB5A78" w:rsidRPr="00780BA5" w:rsidRDefault="00BB5A78" w:rsidP="007317B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Prof. Dr. Ta</w:t>
      </w:r>
      <w:r w:rsidR="00474A6D">
        <w:rPr>
          <w:rFonts w:ascii="Arial" w:hAnsi="Arial" w:cs="Arial"/>
        </w:rPr>
        <w:t>ï</w:t>
      </w:r>
      <w:bookmarkStart w:id="0" w:name="_GoBack"/>
      <w:bookmarkEnd w:id="0"/>
      <w:r>
        <w:rPr>
          <w:rFonts w:ascii="Arial" w:hAnsi="Arial" w:cs="Arial"/>
        </w:rPr>
        <w:t xml:space="preserve">eb </w:t>
      </w:r>
      <w:proofErr w:type="spellStart"/>
      <w:r>
        <w:rPr>
          <w:rFonts w:ascii="Arial" w:hAnsi="Arial" w:cs="Arial"/>
        </w:rPr>
        <w:t>Mellouli</w:t>
      </w:r>
      <w:proofErr w:type="spellEnd"/>
      <w:r>
        <w:rPr>
          <w:rFonts w:ascii="Arial" w:hAnsi="Arial" w:cs="Arial"/>
        </w:rPr>
        <w:t>, Universität Halle-Wittenberg</w:t>
      </w:r>
    </w:p>
    <w:p w:rsidR="007317B2" w:rsidRPr="007317B2" w:rsidRDefault="007317B2" w:rsidP="007317B2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Peter </w:t>
      </w:r>
      <w:proofErr w:type="spellStart"/>
      <w:r>
        <w:rPr>
          <w:rFonts w:ascii="Arial" w:hAnsi="Arial" w:cs="Arial"/>
        </w:rPr>
        <w:t>Möhl</w:t>
      </w:r>
      <w:proofErr w:type="spellEnd"/>
      <w:r>
        <w:rPr>
          <w:rFonts w:ascii="Arial" w:hAnsi="Arial" w:cs="Arial"/>
        </w:rPr>
        <w:t>, PTV AG</w:t>
      </w:r>
    </w:p>
    <w:p w:rsidR="005E76F8" w:rsidRPr="00C93E5B" w:rsidRDefault="005E76F8" w:rsidP="005E76F8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C93E5B">
        <w:rPr>
          <w:rFonts w:ascii="Arial" w:hAnsi="Arial" w:cs="Arial"/>
        </w:rPr>
        <w:t>Dr. Jörn Schönberger, Uni</w:t>
      </w:r>
      <w:r>
        <w:rPr>
          <w:rFonts w:ascii="Arial" w:hAnsi="Arial" w:cs="Arial"/>
        </w:rPr>
        <w:t>versität Bremen</w:t>
      </w:r>
    </w:p>
    <w:sectPr w:rsidR="005E76F8" w:rsidRPr="00C93E5B" w:rsidSect="009350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5B7"/>
    <w:multiLevelType w:val="hybridMultilevel"/>
    <w:tmpl w:val="9ED00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0750E"/>
    <w:multiLevelType w:val="hybridMultilevel"/>
    <w:tmpl w:val="D58CF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53C42"/>
    <w:multiLevelType w:val="hybridMultilevel"/>
    <w:tmpl w:val="040236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59"/>
    <w:rsid w:val="00362D29"/>
    <w:rsid w:val="003D10EA"/>
    <w:rsid w:val="00474A6D"/>
    <w:rsid w:val="00486693"/>
    <w:rsid w:val="004C1ACC"/>
    <w:rsid w:val="00515264"/>
    <w:rsid w:val="00536B14"/>
    <w:rsid w:val="005715EB"/>
    <w:rsid w:val="005E1D60"/>
    <w:rsid w:val="005E76F8"/>
    <w:rsid w:val="007317B2"/>
    <w:rsid w:val="00780BA5"/>
    <w:rsid w:val="00785C59"/>
    <w:rsid w:val="007B778F"/>
    <w:rsid w:val="00845A95"/>
    <w:rsid w:val="00935039"/>
    <w:rsid w:val="00B6702A"/>
    <w:rsid w:val="00B84F4E"/>
    <w:rsid w:val="00BB5A78"/>
    <w:rsid w:val="00C93E5B"/>
    <w:rsid w:val="00CA514F"/>
    <w:rsid w:val="00E719E6"/>
    <w:rsid w:val="00F35521"/>
    <w:rsid w:val="00F548B1"/>
    <w:rsid w:val="00F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C59"/>
    <w:pPr>
      <w:ind w:left="720"/>
      <w:contextualSpacing/>
    </w:pPr>
  </w:style>
  <w:style w:type="table" w:styleId="Tabellenraster">
    <w:name w:val="Table Grid"/>
    <w:basedOn w:val="NormaleTabelle"/>
    <w:uiPriority w:val="59"/>
    <w:rsid w:val="00B8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F4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bsatz-Standardschriftart"/>
    <w:rsid w:val="00536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C59"/>
    <w:pPr>
      <w:ind w:left="720"/>
      <w:contextualSpacing/>
    </w:pPr>
  </w:style>
  <w:style w:type="table" w:styleId="Tabellenraster">
    <w:name w:val="Table Grid"/>
    <w:basedOn w:val="NormaleTabelle"/>
    <w:uiPriority w:val="59"/>
    <w:rsid w:val="00B8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F4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bsatz-Standardschriftart"/>
    <w:rsid w:val="0053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Braunschweig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Fabian Ehmke</dc:creator>
  <cp:lastModifiedBy>Jan Fabian Ehmke</cp:lastModifiedBy>
  <cp:revision>3</cp:revision>
  <cp:lastPrinted>2011-03-08T15:41:00Z</cp:lastPrinted>
  <dcterms:created xsi:type="dcterms:W3CDTF">2011-03-14T12:15:00Z</dcterms:created>
  <dcterms:modified xsi:type="dcterms:W3CDTF">2011-03-14T12:16:00Z</dcterms:modified>
</cp:coreProperties>
</file>